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50" w:rsidRPr="004322FC" w:rsidRDefault="006A2FDA" w:rsidP="00B4677D">
      <w:pPr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Lucca</w:t>
      </w:r>
      <w:r w:rsidR="00D05AE9">
        <w:rPr>
          <w:rFonts w:cs="Calibri"/>
          <w:color w:val="000000"/>
          <w:sz w:val="24"/>
          <w:szCs w:val="24"/>
        </w:rPr>
        <w:t>,</w:t>
      </w:r>
      <w:r w:rsidR="004322FC" w:rsidRPr="004322FC">
        <w:rPr>
          <w:rFonts w:cs="Calibri"/>
          <w:color w:val="000000"/>
          <w:sz w:val="24"/>
          <w:szCs w:val="24"/>
        </w:rPr>
        <w:t xml:space="preserve"> </w:t>
      </w:r>
      <w:r w:rsidR="00DD6F4F">
        <w:rPr>
          <w:rFonts w:cs="Calibri"/>
          <w:color w:val="000000"/>
          <w:sz w:val="24"/>
          <w:szCs w:val="24"/>
        </w:rPr>
        <w:t>19 maggio</w:t>
      </w:r>
      <w:r w:rsidR="00714EC5">
        <w:rPr>
          <w:rFonts w:cs="Calibri"/>
          <w:color w:val="000000"/>
          <w:sz w:val="24"/>
          <w:szCs w:val="24"/>
        </w:rPr>
        <w:t xml:space="preserve"> 2021</w:t>
      </w:r>
    </w:p>
    <w:p w:rsidR="004322FC" w:rsidRDefault="004322FC" w:rsidP="00B4677D">
      <w:pPr>
        <w:spacing w:after="0"/>
        <w:rPr>
          <w:rFonts w:asciiTheme="majorHAnsi" w:hAnsiTheme="majorHAnsi"/>
          <w:b/>
          <w:color w:val="002060"/>
        </w:rPr>
      </w:pPr>
    </w:p>
    <w:p w:rsidR="00F33087" w:rsidRPr="00D6225E" w:rsidRDefault="000C4903" w:rsidP="00D6225E">
      <w:pPr>
        <w:spacing w:after="0"/>
        <w:jc w:val="center"/>
        <w:rPr>
          <w:rFonts w:cs="Calibri"/>
          <w:b/>
        </w:rPr>
      </w:pPr>
      <w:r w:rsidRPr="00D6225E">
        <w:rPr>
          <w:rFonts w:cs="Calibri"/>
          <w:b/>
        </w:rPr>
        <w:t>COMUNICATO STAMPA</w:t>
      </w:r>
    </w:p>
    <w:p w:rsidR="00244BB0" w:rsidRPr="00244BB0" w:rsidRDefault="004652DA" w:rsidP="00E9231F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Calibri"/>
          <w:b/>
          <w:sz w:val="32"/>
          <w:szCs w:val="32"/>
        </w:rPr>
      </w:pPr>
      <w:r w:rsidRPr="00D6225E">
        <w:rPr>
          <w:rFonts w:cs="Arial"/>
          <w:sz w:val="28"/>
          <w:szCs w:val="28"/>
        </w:rPr>
        <w:br/>
      </w:r>
      <w:r w:rsidR="00244BB0" w:rsidRPr="00244BB0">
        <w:rPr>
          <w:rFonts w:cs="Calibri"/>
          <w:b/>
          <w:sz w:val="32"/>
          <w:szCs w:val="32"/>
        </w:rPr>
        <w:t xml:space="preserve">Bilancio 2020 in positivo per la Fondazione Banca del Monte di Lucca, </w:t>
      </w:r>
      <w:r w:rsidR="00244BB0" w:rsidRPr="00244BB0">
        <w:rPr>
          <w:rFonts w:cs="Calibri"/>
          <w:b/>
          <w:sz w:val="32"/>
          <w:szCs w:val="32"/>
        </w:rPr>
        <w:br/>
        <w:t>nonostante la pandemia</w:t>
      </w:r>
    </w:p>
    <w:p w:rsidR="00E9231F" w:rsidRPr="00244BB0" w:rsidRDefault="00244BB0" w:rsidP="00244BB0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Calibri"/>
          <w:b/>
          <w:sz w:val="32"/>
          <w:szCs w:val="32"/>
        </w:rPr>
      </w:pPr>
      <w:r w:rsidRPr="00244BB0">
        <w:rPr>
          <w:rFonts w:cs="Calibri"/>
          <w:b/>
          <w:sz w:val="32"/>
          <w:szCs w:val="32"/>
        </w:rPr>
        <w:t xml:space="preserve">Da oggi è presidente Andrea </w:t>
      </w:r>
      <w:proofErr w:type="spellStart"/>
      <w:r w:rsidRPr="00244BB0">
        <w:rPr>
          <w:rFonts w:cs="Calibri"/>
          <w:b/>
          <w:sz w:val="32"/>
          <w:szCs w:val="32"/>
        </w:rPr>
        <w:t>Palestini</w:t>
      </w:r>
      <w:proofErr w:type="spellEnd"/>
      <w:r w:rsidRPr="00244BB0">
        <w:rPr>
          <w:rFonts w:cs="Calibri"/>
          <w:b/>
          <w:sz w:val="32"/>
          <w:szCs w:val="32"/>
        </w:rPr>
        <w:t>.</w:t>
      </w:r>
    </w:p>
    <w:p w:rsidR="00BF44E1" w:rsidRDefault="00244BB0" w:rsidP="00BF44E1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Calibri"/>
          <w:b/>
          <w:sz w:val="32"/>
          <w:szCs w:val="32"/>
        </w:rPr>
      </w:pPr>
      <w:r w:rsidRPr="00244BB0">
        <w:rPr>
          <w:rFonts w:cs="Calibri"/>
          <w:b/>
          <w:sz w:val="32"/>
          <w:szCs w:val="32"/>
        </w:rPr>
        <w:t>Il saluto di Oriano Landucci con un bilancio sul suo mandato.</w:t>
      </w:r>
      <w:r w:rsidR="00BF44E1">
        <w:rPr>
          <w:rFonts w:cs="Calibri"/>
          <w:b/>
          <w:sz w:val="32"/>
          <w:szCs w:val="32"/>
        </w:rPr>
        <w:br/>
        <w:t xml:space="preserve">La fondazione è particolarmente vicina al vivace tessuto territoriale </w:t>
      </w:r>
    </w:p>
    <w:p w:rsidR="00244BB0" w:rsidRPr="00244BB0" w:rsidRDefault="00BF44E1" w:rsidP="00BF44E1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di piccole associazioni del volontariato.</w:t>
      </w:r>
    </w:p>
    <w:p w:rsidR="00136FC2" w:rsidRDefault="00136FC2" w:rsidP="00136FC2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</w:p>
    <w:p w:rsidR="00DD6F4F" w:rsidRPr="00C73819" w:rsidRDefault="00DD6F4F" w:rsidP="00DD6F4F">
      <w:pPr>
        <w:spacing w:after="0" w:line="240" w:lineRule="auto"/>
        <w:jc w:val="both"/>
        <w:rPr>
          <w:sz w:val="24"/>
          <w:szCs w:val="24"/>
        </w:rPr>
      </w:pPr>
    </w:p>
    <w:p w:rsidR="00D31F18" w:rsidRDefault="00244BB0" w:rsidP="00DD6F4F">
      <w:pPr>
        <w:spacing w:after="0" w:line="240" w:lineRule="auto"/>
        <w:jc w:val="both"/>
      </w:pPr>
      <w:r w:rsidRPr="00244BB0">
        <w:rPr>
          <w:b/>
        </w:rPr>
        <w:t>Il</w:t>
      </w:r>
      <w:r w:rsidR="00D31F18" w:rsidRPr="00244BB0">
        <w:rPr>
          <w:b/>
        </w:rPr>
        <w:t xml:space="preserve"> bilancio 2020 della Fondazione Banca del Monte di Lucca chiude in positivo</w:t>
      </w:r>
      <w:r w:rsidRPr="00244BB0">
        <w:rPr>
          <w:b/>
        </w:rPr>
        <w:t xml:space="preserve"> nonostante la pandemia</w:t>
      </w:r>
      <w:r w:rsidR="00D31F18" w:rsidRPr="00244BB0">
        <w:rPr>
          <w:b/>
        </w:rPr>
        <w:t>.</w:t>
      </w:r>
      <w:r w:rsidR="00D31F18">
        <w:t xml:space="preserve"> Il documento è stato </w:t>
      </w:r>
      <w:r w:rsidR="00D31F18" w:rsidRPr="00244BB0">
        <w:rPr>
          <w:b/>
        </w:rPr>
        <w:t xml:space="preserve">approvato questo </w:t>
      </w:r>
      <w:r w:rsidR="00DD6F4F" w:rsidRPr="00244BB0">
        <w:rPr>
          <w:b/>
        </w:rPr>
        <w:t xml:space="preserve">pomeriggio, </w:t>
      </w:r>
      <w:r w:rsidR="00D31F18" w:rsidRPr="00244BB0">
        <w:rPr>
          <w:b/>
        </w:rPr>
        <w:t xml:space="preserve">mercoledì </w:t>
      </w:r>
      <w:r w:rsidR="00DD6F4F" w:rsidRPr="00244BB0">
        <w:rPr>
          <w:b/>
        </w:rPr>
        <w:t xml:space="preserve">19 maggio 2021, </w:t>
      </w:r>
      <w:r w:rsidR="00D31F18" w:rsidRPr="00244BB0">
        <w:rPr>
          <w:b/>
        </w:rPr>
        <w:t>dal</w:t>
      </w:r>
      <w:r w:rsidR="00DD6F4F" w:rsidRPr="00244BB0">
        <w:rPr>
          <w:b/>
        </w:rPr>
        <w:t xml:space="preserve"> </w:t>
      </w:r>
      <w:r>
        <w:rPr>
          <w:b/>
        </w:rPr>
        <w:t>c</w:t>
      </w:r>
      <w:r w:rsidR="00DD6F4F" w:rsidRPr="00244BB0">
        <w:rPr>
          <w:b/>
        </w:rPr>
        <w:t xml:space="preserve">onsiglio di </w:t>
      </w:r>
      <w:r>
        <w:rPr>
          <w:b/>
        </w:rPr>
        <w:t>i</w:t>
      </w:r>
      <w:r w:rsidR="00DD6F4F" w:rsidRPr="00244BB0">
        <w:rPr>
          <w:b/>
        </w:rPr>
        <w:t>ndirizzo</w:t>
      </w:r>
      <w:r w:rsidR="00DD6F4F" w:rsidRPr="00927138">
        <w:t xml:space="preserve"> della Fondazione Banca del Monte di Lucca. </w:t>
      </w:r>
      <w:r>
        <w:t xml:space="preserve">Con questo atto, come da </w:t>
      </w:r>
      <w:r w:rsidR="00BF44E1">
        <w:t>s</w:t>
      </w:r>
      <w:r>
        <w:t>tatuto, succede ad</w:t>
      </w:r>
      <w:r w:rsidR="00D31F18">
        <w:t xml:space="preserve"> Oriano Landucci </w:t>
      </w:r>
      <w:r w:rsidR="00D31F18" w:rsidRPr="00244BB0">
        <w:rPr>
          <w:b/>
        </w:rPr>
        <w:t xml:space="preserve">Andrea </w:t>
      </w:r>
      <w:proofErr w:type="spellStart"/>
      <w:r w:rsidR="00D31F18" w:rsidRPr="00244BB0">
        <w:rPr>
          <w:b/>
        </w:rPr>
        <w:t>Palestini</w:t>
      </w:r>
      <w:proofErr w:type="spellEnd"/>
      <w:r w:rsidR="00D31F18" w:rsidRPr="00244BB0">
        <w:rPr>
          <w:b/>
        </w:rPr>
        <w:t>, già vicepresidente</w:t>
      </w:r>
      <w:r>
        <w:rPr>
          <w:b/>
        </w:rPr>
        <w:t>, eletto</w:t>
      </w:r>
      <w:r w:rsidRPr="00244BB0">
        <w:rPr>
          <w:b/>
        </w:rPr>
        <w:t xml:space="preserve"> dallo stesso </w:t>
      </w:r>
      <w:r w:rsidR="00D17EDC">
        <w:rPr>
          <w:b/>
        </w:rPr>
        <w:t>c</w:t>
      </w:r>
      <w:r w:rsidRPr="00244BB0">
        <w:rPr>
          <w:b/>
        </w:rPr>
        <w:t xml:space="preserve">onsiglio di </w:t>
      </w:r>
      <w:r w:rsidR="00D17EDC">
        <w:rPr>
          <w:b/>
        </w:rPr>
        <w:t>i</w:t>
      </w:r>
      <w:bookmarkStart w:id="0" w:name="_GoBack"/>
      <w:bookmarkEnd w:id="0"/>
      <w:r w:rsidRPr="00244BB0">
        <w:rPr>
          <w:b/>
        </w:rPr>
        <w:t>ndirizzo il 3 marzo scorso</w:t>
      </w:r>
      <w:r w:rsidR="00D31F18">
        <w:t>.</w:t>
      </w:r>
    </w:p>
    <w:p w:rsidR="00D31F18" w:rsidRDefault="00D31F18" w:rsidP="00DD6F4F">
      <w:pPr>
        <w:spacing w:after="0" w:line="240" w:lineRule="auto"/>
        <w:jc w:val="both"/>
      </w:pPr>
    </w:p>
    <w:p w:rsidR="00DD6F4F" w:rsidRPr="00927138" w:rsidRDefault="00AC4F3C" w:rsidP="00DD6F4F">
      <w:pPr>
        <w:spacing w:after="0" w:line="240" w:lineRule="auto"/>
        <w:jc w:val="both"/>
      </w:pPr>
      <w:r>
        <w:t>“L</w:t>
      </w:r>
      <w:r w:rsidR="00DD6F4F" w:rsidRPr="00927138">
        <w:t xml:space="preserve">a gestione economica del patrimonio </w:t>
      </w:r>
      <w:r>
        <w:t xml:space="preserve">– spiega Landucci - </w:t>
      </w:r>
      <w:r w:rsidR="00DD6F4F" w:rsidRPr="00927138">
        <w:t>è stata positiva nel suo risultato finale</w:t>
      </w:r>
      <w:r w:rsidR="00DD6F4F">
        <w:t>,</w:t>
      </w:r>
      <w:r w:rsidR="00DD6F4F" w:rsidRPr="00927138">
        <w:t xml:space="preserve"> il quale fissa i proventi ad Euro 1.203.328: il rapporto </w:t>
      </w:r>
      <w:r w:rsidR="00DD6F4F" w:rsidRPr="00927138">
        <w:rPr>
          <w:i/>
        </w:rPr>
        <w:t>totale proventi / totale patrimonio medio</w:t>
      </w:r>
      <w:r w:rsidR="00DD6F4F" w:rsidRPr="00927138">
        <w:t xml:space="preserve"> ha registrato nel 20</w:t>
      </w:r>
      <w:r>
        <w:t>20 una performance positiva del</w:t>
      </w:r>
      <w:r w:rsidR="00DD6F4F" w:rsidRPr="00927138">
        <w:t xml:space="preserve"> 2,5</w:t>
      </w:r>
      <w:r w:rsidR="00DD6F4F">
        <w:t>%; se si prende atto</w:t>
      </w:r>
      <w:r w:rsidR="00DD6F4F" w:rsidRPr="00927138">
        <w:t xml:space="preserve"> che una fetta importante del patrimonio è improduttiva (</w:t>
      </w:r>
      <w:r w:rsidR="00DD6F4F">
        <w:t xml:space="preserve">quali i </w:t>
      </w:r>
      <w:r w:rsidR="00DD6F4F" w:rsidRPr="00927138">
        <w:t xml:space="preserve">beni mobili, </w:t>
      </w:r>
      <w:r w:rsidR="00DD6F4F">
        <w:t xml:space="preserve">i </w:t>
      </w:r>
      <w:r w:rsidR="00DD6F4F" w:rsidRPr="00927138">
        <w:t xml:space="preserve">beni immobili strumentali e </w:t>
      </w:r>
      <w:r w:rsidR="00DD6F4F">
        <w:t xml:space="preserve">i </w:t>
      </w:r>
      <w:r w:rsidR="00DD6F4F" w:rsidRPr="00927138">
        <w:t xml:space="preserve">beni mobili d’arte, </w:t>
      </w:r>
      <w:r w:rsidR="00DD6F4F">
        <w:t xml:space="preserve">le </w:t>
      </w:r>
      <w:r w:rsidR="00DD6F4F" w:rsidRPr="00927138">
        <w:t xml:space="preserve">partecipazioni nelle conferitarie, ecc.) </w:t>
      </w:r>
      <w:r w:rsidR="00DD6F4F" w:rsidRPr="00AC4F3C">
        <w:rPr>
          <w:b/>
        </w:rPr>
        <w:t>la performance del patrimonio produttivo della fondazione sale di fatto al 3,2%</w:t>
      </w:r>
      <w:r w:rsidR="00DD6F4F" w:rsidRPr="00927138">
        <w:t xml:space="preserve">, una percentuale abbondantemente inferiore a quella degli anni precedenti, ma del tutto dignitosa se si considera la straordinarietà del 2020, che passerà alla </w:t>
      </w:r>
      <w:r>
        <w:t>S</w:t>
      </w:r>
      <w:r w:rsidR="00DD6F4F" w:rsidRPr="00927138">
        <w:t>toria come l’anno della pandemia da Covid-19 e della conseguente grave crisi sanitaria e socio-economica, che naturalmente ha condizionato negativamente anche i mercati finanziari a livello mondiale</w:t>
      </w:r>
      <w:r>
        <w:t>”</w:t>
      </w:r>
      <w:r w:rsidR="00DD6F4F" w:rsidRPr="00927138">
        <w:t>.</w:t>
      </w:r>
    </w:p>
    <w:p w:rsidR="00AC4F3C" w:rsidRDefault="00AC4F3C" w:rsidP="00DD6F4F">
      <w:pPr>
        <w:spacing w:after="0" w:line="240" w:lineRule="auto"/>
        <w:jc w:val="both"/>
      </w:pPr>
    </w:p>
    <w:p w:rsidR="00AC4F3C" w:rsidRDefault="00DD6F4F" w:rsidP="00DD6F4F">
      <w:pPr>
        <w:spacing w:after="0" w:line="240" w:lineRule="auto"/>
        <w:jc w:val="both"/>
      </w:pPr>
      <w:r w:rsidRPr="00AC4F3C">
        <w:rPr>
          <w:b/>
        </w:rPr>
        <w:t xml:space="preserve">Il risultato netto d’esercizio è </w:t>
      </w:r>
      <w:r w:rsidR="00AC4F3C" w:rsidRPr="00AC4F3C">
        <w:rPr>
          <w:b/>
        </w:rPr>
        <w:t xml:space="preserve">quindi </w:t>
      </w:r>
      <w:r w:rsidRPr="00AC4F3C">
        <w:rPr>
          <w:b/>
        </w:rPr>
        <w:t>positivo nel suo segno anche se simbolico nel suo valore</w:t>
      </w:r>
      <w:r w:rsidRPr="00927138">
        <w:t>.</w:t>
      </w:r>
      <w:r w:rsidR="00AC4F3C">
        <w:t xml:space="preserve"> “</w:t>
      </w:r>
      <w:r w:rsidRPr="00927138">
        <w:t>Conforta verificare</w:t>
      </w:r>
      <w:r w:rsidR="00AC4F3C">
        <w:t xml:space="preserve"> – prosegue Landucci -</w:t>
      </w:r>
      <w:r w:rsidRPr="00927138">
        <w:t xml:space="preserve"> che i valori reali correnti al 31/12/2020 dell’attivo patrimoniale sono superiori a quelli contabili per l’importo di Euro 1.680.690, che corrisponde ad una plusvalenza latente del 3,459% rispetto al patrimonio netto contabile</w:t>
      </w:r>
      <w:r w:rsidR="00AC4F3C">
        <w:t>”</w:t>
      </w:r>
      <w:r w:rsidRPr="00927138">
        <w:t xml:space="preserve">. </w:t>
      </w:r>
    </w:p>
    <w:p w:rsidR="00AC4F3C" w:rsidRDefault="00AC4F3C" w:rsidP="00DD6F4F">
      <w:pPr>
        <w:spacing w:after="0" w:line="240" w:lineRule="auto"/>
        <w:jc w:val="both"/>
      </w:pPr>
    </w:p>
    <w:p w:rsidR="00DD6F4F" w:rsidRPr="00927138" w:rsidRDefault="00AC4F3C" w:rsidP="00244BB0">
      <w:pPr>
        <w:spacing w:after="0" w:line="240" w:lineRule="auto"/>
        <w:jc w:val="both"/>
      </w:pPr>
      <w:r w:rsidRPr="00AC4F3C">
        <w:rPr>
          <w:b/>
        </w:rPr>
        <w:t xml:space="preserve">Le erogazioni. </w:t>
      </w:r>
      <w:r w:rsidR="00DD6F4F" w:rsidRPr="00927138">
        <w:t>Le 173 erogazioni deliberate nel 2020 ammontano ad un totale di Euro 900.000 e sono distribuite nei settori prevalenti quali: 1) Arte, attività e beni culturali; 2) Educazione, istruzione e formazione; 3) Volontariato, filantropia e beneficienza; 4) Sviluppo locale.</w:t>
      </w:r>
    </w:p>
    <w:p w:rsidR="00AC4F3C" w:rsidRDefault="00AC4F3C" w:rsidP="00244BB0">
      <w:pPr>
        <w:spacing w:after="0" w:line="240" w:lineRule="auto"/>
        <w:jc w:val="both"/>
      </w:pPr>
    </w:p>
    <w:p w:rsidR="00DD6F4F" w:rsidRDefault="00AC4F3C" w:rsidP="00244BB0">
      <w:pPr>
        <w:spacing w:after="0" w:line="240" w:lineRule="auto"/>
        <w:jc w:val="both"/>
      </w:pPr>
      <w:r w:rsidRPr="00AC4F3C">
        <w:rPr>
          <w:b/>
        </w:rPr>
        <w:t>Il nuovo presidente.</w:t>
      </w:r>
      <w:r>
        <w:t xml:space="preserve"> </w:t>
      </w:r>
      <w:r w:rsidR="00DD6F4F" w:rsidRPr="00927138">
        <w:t xml:space="preserve">Con l’approvazione </w:t>
      </w:r>
      <w:r w:rsidR="00244BB0">
        <w:t>del bilancio 2020 da parte del consiglio di i</w:t>
      </w:r>
      <w:r w:rsidR="00DD6F4F" w:rsidRPr="00927138">
        <w:t>ndirizzo è terminato, come previsto dallo Statuto, il mandato di presidenza di Oria</w:t>
      </w:r>
      <w:r w:rsidR="00244BB0">
        <w:t>no Landucci e del consiglio di a</w:t>
      </w:r>
      <w:r w:rsidR="00DD6F4F" w:rsidRPr="00927138">
        <w:t>mministrazione dallo stesso presieduto. Nella medesima riu</w:t>
      </w:r>
      <w:r w:rsidR="00244BB0">
        <w:t>nione il consiglio di i</w:t>
      </w:r>
      <w:r w:rsidR="00DD6F4F" w:rsidRPr="00927138">
        <w:t>ndirizzo ha pertanto formali</w:t>
      </w:r>
      <w:r w:rsidR="00244BB0">
        <w:t>zzato l’insediamento del nuovo p</w:t>
      </w:r>
      <w:r w:rsidR="00DD6F4F" w:rsidRPr="00927138">
        <w:t xml:space="preserve">residente, Andrea </w:t>
      </w:r>
      <w:proofErr w:type="spellStart"/>
      <w:r w:rsidR="00DD6F4F" w:rsidRPr="00927138">
        <w:t>Pale</w:t>
      </w:r>
      <w:r w:rsidR="00244BB0">
        <w:t>stini</w:t>
      </w:r>
      <w:proofErr w:type="spellEnd"/>
      <w:r w:rsidR="00244BB0">
        <w:t>, già eletto dallo stesso c</w:t>
      </w:r>
      <w:r w:rsidR="00DD6F4F" w:rsidRPr="00927138">
        <w:t>onsigli</w:t>
      </w:r>
      <w:r w:rsidR="00244BB0">
        <w:t>o di i</w:t>
      </w:r>
      <w:r>
        <w:t>ndirizzo nella seduta del</w:t>
      </w:r>
      <w:r w:rsidR="00DD6F4F" w:rsidRPr="00927138">
        <w:t xml:space="preserve"> 3 marzo scorso.</w:t>
      </w:r>
    </w:p>
    <w:p w:rsidR="00A0614E" w:rsidRDefault="00A0614E" w:rsidP="00244BB0">
      <w:pPr>
        <w:jc w:val="both"/>
        <w:rPr>
          <w:rFonts w:asciiTheme="minorHAnsi" w:hAnsiTheme="minorHAnsi" w:cstheme="minorHAnsi"/>
          <w:bCs/>
          <w:lang w:eastAsia="it-IT"/>
        </w:rPr>
      </w:pPr>
      <w:r w:rsidRPr="00650155">
        <w:rPr>
          <w:rFonts w:asciiTheme="minorHAnsi" w:hAnsiTheme="minorHAnsi" w:cstheme="minorHAnsi"/>
          <w:b/>
          <w:bCs/>
          <w:lang w:eastAsia="it-IT"/>
        </w:rPr>
        <w:t xml:space="preserve">Andrea </w:t>
      </w:r>
      <w:proofErr w:type="spellStart"/>
      <w:r w:rsidRPr="00650155">
        <w:rPr>
          <w:rFonts w:asciiTheme="minorHAnsi" w:hAnsiTheme="minorHAnsi" w:cstheme="minorHAnsi"/>
          <w:b/>
          <w:bCs/>
          <w:lang w:eastAsia="it-IT"/>
        </w:rPr>
        <w:t>Palestini</w:t>
      </w:r>
      <w:proofErr w:type="spellEnd"/>
      <w:r w:rsidRPr="00E8083C">
        <w:rPr>
          <w:rFonts w:asciiTheme="minorHAnsi" w:hAnsiTheme="minorHAnsi" w:cstheme="minorHAnsi"/>
          <w:bCs/>
          <w:lang w:eastAsia="it-IT"/>
        </w:rPr>
        <w:t xml:space="preserve"> è nato nel 1961 a Viareggio, dove ha sempre abitato. Maturità classica, laurea in Economia e Commercio e master in "Gestione dell'economia e Manager Pubblico" a Pisa, svolge la professione di dottore commercialista e revisore legale dei conti tra Viareggio e Lucca. </w:t>
      </w:r>
      <w:r>
        <w:rPr>
          <w:rFonts w:asciiTheme="minorHAnsi" w:hAnsiTheme="minorHAnsi" w:cstheme="minorHAnsi"/>
          <w:bCs/>
          <w:lang w:eastAsia="it-IT"/>
        </w:rPr>
        <w:t xml:space="preserve">È </w:t>
      </w:r>
      <w:r w:rsidRPr="00E8083C">
        <w:rPr>
          <w:rFonts w:asciiTheme="minorHAnsi" w:hAnsiTheme="minorHAnsi" w:cstheme="minorHAnsi"/>
          <w:bCs/>
          <w:lang w:eastAsia="it-IT"/>
        </w:rPr>
        <w:t xml:space="preserve">stato sindaco di Viareggio nei primi anni </w:t>
      </w:r>
      <w:r w:rsidR="00BF44E1">
        <w:rPr>
          <w:rFonts w:asciiTheme="minorHAnsi" w:hAnsiTheme="minorHAnsi" w:cstheme="minorHAnsi"/>
          <w:bCs/>
          <w:lang w:eastAsia="it-IT"/>
        </w:rPr>
        <w:t>N</w:t>
      </w:r>
      <w:r w:rsidRPr="00E8083C">
        <w:rPr>
          <w:rFonts w:asciiTheme="minorHAnsi" w:hAnsiTheme="minorHAnsi" w:cstheme="minorHAnsi"/>
          <w:bCs/>
          <w:lang w:eastAsia="it-IT"/>
        </w:rPr>
        <w:t>ovanta e presidente del consiglio provinciale di L</w:t>
      </w:r>
      <w:r w:rsidR="00BF44E1">
        <w:rPr>
          <w:rFonts w:asciiTheme="minorHAnsi" w:hAnsiTheme="minorHAnsi" w:cstheme="minorHAnsi"/>
          <w:bCs/>
          <w:lang w:eastAsia="it-IT"/>
        </w:rPr>
        <w:t>ucca dal 2011 al 2015</w:t>
      </w:r>
      <w:r>
        <w:rPr>
          <w:rFonts w:asciiTheme="minorHAnsi" w:hAnsiTheme="minorHAnsi" w:cstheme="minorHAnsi"/>
          <w:bCs/>
          <w:lang w:eastAsia="it-IT"/>
        </w:rPr>
        <w:t xml:space="preserve">. Sposato con </w:t>
      </w:r>
      <w:r w:rsidRPr="00E8083C">
        <w:rPr>
          <w:rFonts w:asciiTheme="minorHAnsi" w:hAnsiTheme="minorHAnsi" w:cstheme="minorHAnsi"/>
          <w:bCs/>
          <w:lang w:eastAsia="it-IT"/>
        </w:rPr>
        <w:t>Monica Biagi, dirigen</w:t>
      </w:r>
      <w:r>
        <w:rPr>
          <w:rFonts w:asciiTheme="minorHAnsi" w:hAnsiTheme="minorHAnsi" w:cstheme="minorHAnsi"/>
          <w:bCs/>
          <w:lang w:eastAsia="it-IT"/>
        </w:rPr>
        <w:t>te del Liceo Chini/Michelangelo</w:t>
      </w:r>
      <w:r w:rsidRPr="00E8083C">
        <w:rPr>
          <w:rFonts w:asciiTheme="minorHAnsi" w:hAnsiTheme="minorHAnsi" w:cstheme="minorHAnsi"/>
          <w:bCs/>
          <w:lang w:eastAsia="it-IT"/>
        </w:rPr>
        <w:t>, è appassionato di musica lirica e, in particolare, di Puccini.</w:t>
      </w:r>
    </w:p>
    <w:p w:rsidR="00A0614E" w:rsidRDefault="00A0614E" w:rsidP="00244BB0">
      <w:pPr>
        <w:jc w:val="both"/>
        <w:rPr>
          <w:rFonts w:asciiTheme="minorHAnsi" w:hAnsiTheme="minorHAnsi" w:cstheme="minorHAnsi"/>
          <w:bCs/>
          <w:lang w:eastAsia="it-IT"/>
        </w:rPr>
      </w:pPr>
    </w:p>
    <w:p w:rsidR="00DD6F4F" w:rsidRPr="00A0614E" w:rsidRDefault="00A0614E" w:rsidP="00244BB0">
      <w:pPr>
        <w:jc w:val="both"/>
        <w:rPr>
          <w:rFonts w:asciiTheme="minorHAnsi" w:hAnsiTheme="minorHAnsi" w:cstheme="minorHAnsi"/>
          <w:bCs/>
          <w:lang w:eastAsia="it-IT"/>
        </w:rPr>
      </w:pPr>
      <w:r w:rsidRPr="00A0614E">
        <w:rPr>
          <w:rFonts w:asciiTheme="minorHAnsi" w:hAnsiTheme="minorHAnsi" w:cstheme="minorHAnsi"/>
          <w:b/>
          <w:bCs/>
          <w:lang w:eastAsia="it-IT"/>
        </w:rPr>
        <w:t xml:space="preserve">Il bilancio di mandato. </w:t>
      </w:r>
      <w:r>
        <w:rPr>
          <w:rFonts w:asciiTheme="minorHAnsi" w:hAnsiTheme="minorHAnsi" w:cstheme="minorHAnsi"/>
          <w:bCs/>
          <w:lang w:eastAsia="it-IT"/>
        </w:rPr>
        <w:t>“</w:t>
      </w:r>
      <w:r w:rsidR="00DD6F4F" w:rsidRPr="00927138">
        <w:t xml:space="preserve">La riunione odierna del </w:t>
      </w:r>
      <w:r w:rsidR="00244BB0">
        <w:t>c</w:t>
      </w:r>
      <w:r w:rsidR="00DD6F4F" w:rsidRPr="00927138">
        <w:t xml:space="preserve">onsiglio di </w:t>
      </w:r>
      <w:r w:rsidR="00244BB0">
        <w:t>i</w:t>
      </w:r>
      <w:r w:rsidR="00DD6F4F" w:rsidRPr="00927138">
        <w:t xml:space="preserve">ndirizzo </w:t>
      </w:r>
      <w:r>
        <w:t xml:space="preserve">– prosegue Landucci - </w:t>
      </w:r>
      <w:r w:rsidR="00DD6F4F" w:rsidRPr="00927138">
        <w:t xml:space="preserve">è stata anche l’occasione per riflettere non soltanto sul bilancio d’esercizio 2020, ma anche sul bilancio di un intero mandato che si è concluso. </w:t>
      </w:r>
      <w:r w:rsidR="00DD6F4F" w:rsidRPr="00A0614E">
        <w:rPr>
          <w:b/>
        </w:rPr>
        <w:t>Sono stati anni difficili, con una situazione macroeconomica ancora malata, incerta e con mercati estremamente volatili.</w:t>
      </w:r>
      <w:r w:rsidR="00DD6F4F" w:rsidRPr="00927138">
        <w:t xml:space="preserve"> A ciò si è aggiunta l’inimmaginabile </w:t>
      </w:r>
      <w:r w:rsidR="00DD6F4F" w:rsidRPr="00A0614E">
        <w:rPr>
          <w:b/>
        </w:rPr>
        <w:t>tragedia del Coronavirus</w:t>
      </w:r>
      <w:r w:rsidR="00DD6F4F" w:rsidRPr="00927138">
        <w:t xml:space="preserve"> che ha trovato tutto il mondo impreparato ed estremamente fragile. Relativamente </w:t>
      </w:r>
      <w:r w:rsidR="00DD6F4F" w:rsidRPr="00A0614E">
        <w:rPr>
          <w:b/>
        </w:rPr>
        <w:t>buoni sono, comunque, stati dal punto di vista economico i bilanci 2017, 2018 e 2019 della Fondazione</w:t>
      </w:r>
      <w:r w:rsidR="00DD6F4F" w:rsidRPr="00927138">
        <w:t xml:space="preserve">, grazie ad </w:t>
      </w:r>
      <w:r w:rsidR="00DD6F4F" w:rsidRPr="00BF44E1">
        <w:rPr>
          <w:b/>
        </w:rPr>
        <w:t xml:space="preserve">una attenta ed efficiente gestione del patrimonio </w:t>
      </w:r>
      <w:r w:rsidRPr="00BF44E1">
        <w:rPr>
          <w:b/>
        </w:rPr>
        <w:t xml:space="preserve">finanziario che ha permesso di </w:t>
      </w:r>
      <w:r w:rsidR="00DD6F4F" w:rsidRPr="00BF44E1">
        <w:rPr>
          <w:b/>
        </w:rPr>
        <w:t xml:space="preserve">mantenere i </w:t>
      </w:r>
      <w:r w:rsidR="00DD6F4F" w:rsidRPr="00244BB0">
        <w:rPr>
          <w:b/>
        </w:rPr>
        <w:t>segni positivi anche ai risultati del 2020</w:t>
      </w:r>
      <w:r>
        <w:t>”</w:t>
      </w:r>
      <w:r w:rsidR="00DD6F4F" w:rsidRPr="00927138">
        <w:t xml:space="preserve">. </w:t>
      </w:r>
    </w:p>
    <w:p w:rsidR="00DD6F4F" w:rsidRPr="00927138" w:rsidRDefault="00A0614E" w:rsidP="00244BB0">
      <w:pPr>
        <w:spacing w:after="0" w:line="240" w:lineRule="auto"/>
        <w:jc w:val="both"/>
      </w:pPr>
      <w:r>
        <w:t>Determinante</w:t>
      </w:r>
      <w:r w:rsidR="00DD6F4F" w:rsidRPr="00927138">
        <w:t xml:space="preserve"> si è rivelata la politica di </w:t>
      </w:r>
      <w:proofErr w:type="spellStart"/>
      <w:r w:rsidR="00DD6F4F" w:rsidRPr="00927138">
        <w:rPr>
          <w:i/>
        </w:rPr>
        <w:t>spending</w:t>
      </w:r>
      <w:proofErr w:type="spellEnd"/>
      <w:r w:rsidR="00DD6F4F" w:rsidRPr="00927138">
        <w:rPr>
          <w:i/>
        </w:rPr>
        <w:t xml:space="preserve"> </w:t>
      </w:r>
      <w:proofErr w:type="spellStart"/>
      <w:r w:rsidR="00DD6F4F" w:rsidRPr="00927138">
        <w:rPr>
          <w:i/>
        </w:rPr>
        <w:t>review</w:t>
      </w:r>
      <w:proofErr w:type="spellEnd"/>
      <w:r>
        <w:t xml:space="preserve"> voluta ed intrapresa dal p</w:t>
      </w:r>
      <w:r w:rsidR="00DD6F4F" w:rsidRPr="00927138">
        <w:t>residente Landucci e condivisa da tutti gli organi statutari. I costi sono scesi sensibilmente anno dopo anno: nel 2020 la posta economica “oneri” si è ridotta del 19,95% rispetto all’anno precedente ed è prevista un’ulteriore diminuzione nel corrente anno di circa il 13%.</w:t>
      </w:r>
    </w:p>
    <w:p w:rsidR="00A0614E" w:rsidRDefault="00A0614E" w:rsidP="00DD6F4F">
      <w:pPr>
        <w:spacing w:after="0" w:line="240" w:lineRule="auto"/>
        <w:jc w:val="both"/>
      </w:pPr>
    </w:p>
    <w:p w:rsidR="00DD6F4F" w:rsidRPr="00927138" w:rsidRDefault="00DD6F4F" w:rsidP="00DD6F4F">
      <w:pPr>
        <w:spacing w:after="0" w:line="240" w:lineRule="auto"/>
        <w:jc w:val="both"/>
        <w:rPr>
          <w:rFonts w:cstheme="minorHAnsi"/>
          <w:color w:val="000000"/>
          <w:shd w:val="clear" w:color="auto" w:fill="E8E1DC"/>
        </w:rPr>
      </w:pPr>
      <w:r w:rsidRPr="00927138">
        <w:t xml:space="preserve">Dal punto di vista della </w:t>
      </w:r>
      <w:proofErr w:type="spellStart"/>
      <w:r w:rsidRPr="00927138">
        <w:rPr>
          <w:i/>
        </w:rPr>
        <w:t>mission</w:t>
      </w:r>
      <w:proofErr w:type="spellEnd"/>
      <w:r w:rsidRPr="00927138">
        <w:t xml:space="preserve"> la Fondazione ha continuato a mantenere alta una </w:t>
      </w:r>
      <w:r w:rsidRPr="00A0614E">
        <w:rPr>
          <w:b/>
        </w:rPr>
        <w:t>particolare attenzione verso le piccole associazioni che rappresentano il volontariato diffuso del nostro territorio</w:t>
      </w:r>
      <w:r w:rsidRPr="00927138">
        <w:t>, quel vivaio associazionistico che si</w:t>
      </w:r>
      <w:r w:rsidR="00BF44E1">
        <w:t xml:space="preserve"> esprime sia nel campo sociale </w:t>
      </w:r>
      <w:r w:rsidRPr="00927138">
        <w:t xml:space="preserve">che culturale. Il Presidente della Repubblica, </w:t>
      </w:r>
      <w:r w:rsidRPr="00A0614E">
        <w:rPr>
          <w:b/>
        </w:rPr>
        <w:t>Sergio Mattarella, nel marzo 2017 ha confermato Lucca capitale del volontariato</w:t>
      </w:r>
      <w:r w:rsidRPr="00927138">
        <w:t>, affermando anche che “</w:t>
      </w:r>
      <w:r w:rsidRPr="00927138">
        <w:rPr>
          <w:rFonts w:cstheme="minorHAnsi"/>
          <w:color w:val="000000"/>
        </w:rPr>
        <w:t>le associazioni rappresentano un atto di libertà delle persone, che si muovono nella concretezza dell’amicizia, del bisogno, dell’impegno generoso e solidale e proprio per questo le istituzioni devono rispettarle e valorizzarle per quanto possibile”.</w:t>
      </w:r>
      <w:r w:rsidRPr="00927138">
        <w:rPr>
          <w:rFonts w:cstheme="minorHAnsi"/>
          <w:color w:val="000000"/>
          <w:shd w:val="clear" w:color="auto" w:fill="E8E1DC"/>
        </w:rPr>
        <w:t xml:space="preserve"> </w:t>
      </w:r>
    </w:p>
    <w:p w:rsidR="00A0614E" w:rsidRDefault="00A0614E" w:rsidP="00DD6F4F">
      <w:pPr>
        <w:spacing w:after="0" w:line="240" w:lineRule="auto"/>
        <w:jc w:val="both"/>
      </w:pPr>
    </w:p>
    <w:p w:rsidR="00DD6F4F" w:rsidRPr="00927138" w:rsidRDefault="00DD6F4F" w:rsidP="00DD6F4F">
      <w:pPr>
        <w:spacing w:after="0" w:line="240" w:lineRule="auto"/>
        <w:jc w:val="both"/>
      </w:pPr>
      <w:r w:rsidRPr="00927138">
        <w:t>Alto</w:t>
      </w:r>
      <w:r w:rsidR="00A0614E">
        <w:t xml:space="preserve"> </w:t>
      </w:r>
      <w:r w:rsidRPr="00927138">
        <w:t xml:space="preserve">si è confermato in questi anni l’impegno della Fondazione nella realizzazione dei </w:t>
      </w:r>
      <w:r w:rsidRPr="00A0614E">
        <w:rPr>
          <w:b/>
        </w:rPr>
        <w:t>progetti propri che ospita nel proprio Palazzo delle Esposizioni</w:t>
      </w:r>
      <w:r w:rsidRPr="00927138">
        <w:t xml:space="preserve">, </w:t>
      </w:r>
      <w:r w:rsidR="00A0614E">
        <w:t>tra i quali</w:t>
      </w:r>
      <w:r w:rsidRPr="00927138">
        <w:t xml:space="preserve"> </w:t>
      </w:r>
      <w:r w:rsidR="00A0614E">
        <w:t xml:space="preserve">gli </w:t>
      </w:r>
      <w:r w:rsidRPr="00927138">
        <w:t>“</w:t>
      </w:r>
      <w:r w:rsidR="00A0614E">
        <w:t>I</w:t>
      </w:r>
      <w:r w:rsidRPr="00927138">
        <w:t xml:space="preserve">ncontri con le eccellenze”, </w:t>
      </w:r>
      <w:r w:rsidR="00A0614E">
        <w:t xml:space="preserve">gli </w:t>
      </w:r>
      <w:r w:rsidRPr="00927138">
        <w:t>“</w:t>
      </w:r>
      <w:r w:rsidR="00A0614E">
        <w:t>Incontri con gli attori” e con Limes</w:t>
      </w:r>
      <w:r w:rsidRPr="00927138">
        <w:t>, oltre a convegni di studi di rilevanza nazionale e internazionale (come il convegno sull’architetto lucchese don Domenico Martinelli, sulle Manifatture Chini, su Maria Luisa di Borbone, sui pitt</w:t>
      </w:r>
      <w:r w:rsidR="00A0614E">
        <w:t>ori lucchesi caravaggeschi</w:t>
      </w:r>
      <w:r w:rsidRPr="00927138">
        <w:t>), il Fondo Arturo Paoli ed i progetti “Memorie di Lucca” e “Lucca</w:t>
      </w:r>
      <w:r w:rsidR="00F06621">
        <w:t xml:space="preserve"> </w:t>
      </w:r>
      <w:r w:rsidRPr="00927138">
        <w:t xml:space="preserve">Artigiana”, le mostre d’arte organizzate nelle sale del Palazzo delle Esposizioni </w:t>
      </w:r>
      <w:r w:rsidR="00F06621">
        <w:t>e</w:t>
      </w:r>
      <w:r w:rsidRPr="00927138">
        <w:t xml:space="preserve"> all’esterno, come quella aperta in questi giorni presso il Museo </w:t>
      </w:r>
      <w:r w:rsidR="00F06621">
        <w:t xml:space="preserve">nazionale </w:t>
      </w:r>
      <w:r w:rsidRPr="00927138">
        <w:t>di Villa Guinigi su Matteo Civitali.</w:t>
      </w:r>
    </w:p>
    <w:p w:rsidR="00A0614E" w:rsidRDefault="00A0614E" w:rsidP="00DD6F4F">
      <w:pPr>
        <w:spacing w:after="0" w:line="240" w:lineRule="auto"/>
        <w:jc w:val="both"/>
      </w:pPr>
    </w:p>
    <w:p w:rsidR="00DD6F4F" w:rsidRPr="00927138" w:rsidRDefault="00A0614E" w:rsidP="00DD6F4F">
      <w:pPr>
        <w:spacing w:after="0" w:line="240" w:lineRule="auto"/>
        <w:jc w:val="both"/>
      </w:pPr>
      <w:r>
        <w:t>“</w:t>
      </w:r>
      <w:r w:rsidRPr="00244BB0">
        <w:rPr>
          <w:b/>
        </w:rPr>
        <w:t>Ringrazio, anche a nome del consiglio di a</w:t>
      </w:r>
      <w:r w:rsidR="00DD6F4F" w:rsidRPr="00244BB0">
        <w:rPr>
          <w:b/>
        </w:rPr>
        <w:t>mministrazione uscente, tutti coloro che in questi anni hanno offerto con generosità la loro preziosa collaborazione</w:t>
      </w:r>
      <w:r>
        <w:t xml:space="preserve"> – conclude Landucci -. A</w:t>
      </w:r>
      <w:r w:rsidR="00DD6F4F" w:rsidRPr="00927138">
        <w:t>ugur</w:t>
      </w:r>
      <w:r>
        <w:t>o buon lavoro al nuovo p</w:t>
      </w:r>
      <w:r w:rsidR="00DD6F4F" w:rsidRPr="00927138">
        <w:t xml:space="preserve">residente, Andrea </w:t>
      </w:r>
      <w:proofErr w:type="spellStart"/>
      <w:r w:rsidR="00DD6F4F" w:rsidRPr="00927138">
        <w:t>Palestini</w:t>
      </w:r>
      <w:proofErr w:type="spellEnd"/>
      <w:r w:rsidR="00DD6F4F" w:rsidRPr="00927138">
        <w:t>,</w:t>
      </w:r>
      <w:r w:rsidR="00DD6F4F">
        <w:t xml:space="preserve"> ed al nuovo </w:t>
      </w:r>
      <w:r>
        <w:t>consiglio di a</w:t>
      </w:r>
      <w:r w:rsidR="00DD6F4F" w:rsidRPr="00927138">
        <w:t>mministrazione</w:t>
      </w:r>
      <w:r>
        <w:t>, oltre ad</w:t>
      </w:r>
      <w:r w:rsidR="00DD6F4F" w:rsidRPr="00927138">
        <w:t xml:space="preserve"> una proficua e lunga vita all’amata Fondazione Banca del Monte di Lucca, che giusto in questi giorni ha compiuto il suo 532simo anno</w:t>
      </w:r>
      <w:r>
        <w:t>”</w:t>
      </w:r>
      <w:r w:rsidR="00DD6F4F" w:rsidRPr="00927138">
        <w:t xml:space="preserve">.  </w:t>
      </w:r>
    </w:p>
    <w:p w:rsidR="00A0614E" w:rsidRDefault="00A0614E" w:rsidP="00DD6F4F">
      <w:pPr>
        <w:spacing w:after="0" w:line="240" w:lineRule="auto"/>
        <w:jc w:val="both"/>
        <w:rPr>
          <w:rFonts w:cstheme="minorHAnsi"/>
          <w:color w:val="000000"/>
          <w:shd w:val="clear" w:color="auto" w:fill="E8E1DC"/>
        </w:rPr>
      </w:pPr>
    </w:p>
    <w:p w:rsidR="00244BB0" w:rsidRDefault="00244BB0" w:rsidP="00DD6F4F">
      <w:pPr>
        <w:spacing w:after="0" w:line="240" w:lineRule="auto"/>
        <w:jc w:val="both"/>
        <w:rPr>
          <w:rFonts w:cstheme="minorHAnsi"/>
          <w:color w:val="000000"/>
          <w:shd w:val="clear" w:color="auto" w:fill="E8E1DC"/>
        </w:rPr>
      </w:pPr>
    </w:p>
    <w:p w:rsidR="00F06621" w:rsidRDefault="00F06621" w:rsidP="00244BB0">
      <w:pPr>
        <w:spacing w:after="0" w:line="240" w:lineRule="auto"/>
        <w:jc w:val="both"/>
        <w:rPr>
          <w:b/>
        </w:rPr>
      </w:pPr>
    </w:p>
    <w:p w:rsidR="00F06621" w:rsidRDefault="00F06621" w:rsidP="00244BB0">
      <w:pPr>
        <w:spacing w:after="0" w:line="240" w:lineRule="auto"/>
        <w:jc w:val="both"/>
        <w:rPr>
          <w:b/>
        </w:rPr>
      </w:pPr>
    </w:p>
    <w:p w:rsidR="00A0614E" w:rsidRDefault="00244BB0" w:rsidP="00244BB0">
      <w:pPr>
        <w:spacing w:after="0" w:line="240" w:lineRule="auto"/>
        <w:jc w:val="both"/>
      </w:pPr>
      <w:r>
        <w:rPr>
          <w:b/>
        </w:rPr>
        <w:t xml:space="preserve">Il quadro regionale. </w:t>
      </w:r>
      <w:r w:rsidR="00A0614E" w:rsidRPr="00F06621">
        <w:t>La Fondazione Banca del Monte di Lucca è una delle</w:t>
      </w:r>
      <w:r w:rsidR="00A0614E">
        <w:rPr>
          <w:b/>
        </w:rPr>
        <w:t xml:space="preserve"> </w:t>
      </w:r>
      <w:r w:rsidR="00A0614E">
        <w:t>88 Fondazioni di origine bancaria italiane che l’ACRI (</w:t>
      </w:r>
      <w:r w:rsidR="00A0614E" w:rsidRPr="00650155">
        <w:rPr>
          <w:iCs/>
        </w:rPr>
        <w:t>Associazione</w:t>
      </w:r>
      <w:r w:rsidR="00A0614E" w:rsidRPr="00650155">
        <w:t xml:space="preserve"> di Fondazioni e di Casse di Risparmio</w:t>
      </w:r>
      <w:r w:rsidR="00A0614E">
        <w:t xml:space="preserve"> italiane) divide in 5 gruppi a seconda della dimensione dei rispettivi patrimoni: le grandi, le medio-grandi, le medie, le medio-piccole e le piccole. </w:t>
      </w:r>
    </w:p>
    <w:p w:rsidR="00A0614E" w:rsidRDefault="00A0614E" w:rsidP="00A0614E">
      <w:pPr>
        <w:spacing w:after="0" w:line="240" w:lineRule="auto"/>
      </w:pPr>
      <w:r>
        <w:t xml:space="preserve">La FBML si trova nel gruppo delle medio-piccole, con un </w:t>
      </w:r>
      <w:r w:rsidRPr="00650155">
        <w:rPr>
          <w:b/>
        </w:rPr>
        <w:t>patrimonio di 49 milioni di euro</w:t>
      </w:r>
      <w:r>
        <w:t xml:space="preserve">, costituito in gran parte da patrimonio mobiliare finanziario. </w:t>
      </w:r>
      <w:r>
        <w:br/>
      </w:r>
      <w:r>
        <w:rPr>
          <w:b/>
        </w:rPr>
        <w:t>Il rapporto a</w:t>
      </w:r>
      <w:r w:rsidR="00F06621">
        <w:rPr>
          <w:b/>
        </w:rPr>
        <w:t xml:space="preserve">nnuale sulle </w:t>
      </w:r>
      <w:r w:rsidRPr="00650155">
        <w:rPr>
          <w:b/>
        </w:rPr>
        <w:t>Fondazioni di origi</w:t>
      </w:r>
      <w:r w:rsidR="00F06621">
        <w:rPr>
          <w:b/>
        </w:rPr>
        <w:t>ne bancaria</w:t>
      </w:r>
      <w:r>
        <w:t>: a partire dal 2006 fino all’esercizio 2019 l’</w:t>
      </w:r>
      <w:r w:rsidRPr="00650155">
        <w:rPr>
          <w:b/>
        </w:rPr>
        <w:t xml:space="preserve">indice di redditività medio di FBML </w:t>
      </w:r>
      <w:r>
        <w:t xml:space="preserve">è del 6,0%, </w:t>
      </w:r>
      <w:r w:rsidRPr="00650155">
        <w:rPr>
          <w:b/>
        </w:rPr>
        <w:t>superiore al</w:t>
      </w:r>
      <w:r w:rsidR="00F06621">
        <w:rPr>
          <w:b/>
        </w:rPr>
        <w:t>la media dell’intero sistema</w:t>
      </w:r>
      <w:r>
        <w:t xml:space="preserve"> (4,9%), </w:t>
      </w:r>
      <w:r w:rsidR="00F06621">
        <w:rPr>
          <w:b/>
        </w:rPr>
        <w:t>superiore alla media delle fondazioni di origine bancaria</w:t>
      </w:r>
      <w:r w:rsidRPr="00650155">
        <w:rPr>
          <w:b/>
        </w:rPr>
        <w:t xml:space="preserve"> del Centro Italia</w:t>
      </w:r>
      <w:r>
        <w:t xml:space="preserve"> (4,5%) e </w:t>
      </w:r>
      <w:r w:rsidRPr="00650155">
        <w:rPr>
          <w:b/>
        </w:rPr>
        <w:t xml:space="preserve">superiore alla media </w:t>
      </w:r>
      <w:r w:rsidR="00F06621">
        <w:rPr>
          <w:b/>
        </w:rPr>
        <w:t>di quelle</w:t>
      </w:r>
      <w:r w:rsidRPr="00650155">
        <w:rPr>
          <w:b/>
        </w:rPr>
        <w:t xml:space="preserve"> medio piccole</w:t>
      </w:r>
      <w:r>
        <w:t xml:space="preserve"> (4,2%).</w:t>
      </w:r>
    </w:p>
    <w:p w:rsidR="00A0614E" w:rsidRPr="00244BB0" w:rsidRDefault="00F06621" w:rsidP="00F06621">
      <w:pPr>
        <w:spacing w:after="0" w:line="240" w:lineRule="auto"/>
        <w:rPr>
          <w:strike/>
          <w:color w:val="FF0000"/>
        </w:rPr>
      </w:pPr>
      <w:r>
        <w:rPr>
          <w:b/>
        </w:rPr>
        <w:t>Le fondazioni di origine bancaria</w:t>
      </w:r>
      <w:r w:rsidR="00A0614E" w:rsidRPr="00650155">
        <w:rPr>
          <w:b/>
        </w:rPr>
        <w:t xml:space="preserve"> della Toscana sono 11</w:t>
      </w:r>
      <w:r w:rsidR="00A0614E">
        <w:t xml:space="preserve">. Secondo la dimensione del proprio patrimonio, la FBML si trova penultima, al decimo posto. </w:t>
      </w:r>
      <w:r w:rsidR="00A0614E" w:rsidRPr="00650155">
        <w:rPr>
          <w:b/>
        </w:rPr>
        <w:t>Secondo la propria capacità di far reddito</w:t>
      </w:r>
      <w:r>
        <w:rPr>
          <w:b/>
        </w:rPr>
        <w:t>,</w:t>
      </w:r>
      <w:r w:rsidR="00A0614E" w:rsidRPr="00650155">
        <w:rPr>
          <w:b/>
        </w:rPr>
        <w:t xml:space="preserve"> la Fondazione Banca del Monte di </w:t>
      </w:r>
      <w:r w:rsidR="00A0614E" w:rsidRPr="00650155">
        <w:rPr>
          <w:b/>
        </w:rPr>
        <w:lastRenderedPageBreak/>
        <w:t>Lucca negli ultimi anni ha realiz</w:t>
      </w:r>
      <w:r w:rsidR="00A0614E" w:rsidRPr="00F06621">
        <w:rPr>
          <w:b/>
        </w:rPr>
        <w:t xml:space="preserve">zato </w:t>
      </w:r>
      <w:r w:rsidR="00244BB0" w:rsidRPr="00F06621">
        <w:rPr>
          <w:b/>
        </w:rPr>
        <w:t>un’</w:t>
      </w:r>
      <w:r w:rsidR="00A0614E" w:rsidRPr="00F06621">
        <w:rPr>
          <w:b/>
        </w:rPr>
        <w:t>ot</w:t>
      </w:r>
      <w:r w:rsidR="00A0614E" w:rsidRPr="00650155">
        <w:rPr>
          <w:b/>
        </w:rPr>
        <w:t>tima performance totale (proventi / patrim</w:t>
      </w:r>
      <w:r w:rsidR="00A0614E">
        <w:rPr>
          <w:b/>
        </w:rPr>
        <w:t xml:space="preserve">onio medio) </w:t>
      </w:r>
      <w:r>
        <w:rPr>
          <w:b/>
        </w:rPr>
        <w:t xml:space="preserve">che la pone </w:t>
      </w:r>
      <w:r w:rsidRPr="00650155">
        <w:rPr>
          <w:b/>
        </w:rPr>
        <w:t>al t</w:t>
      </w:r>
      <w:r>
        <w:rPr>
          <w:b/>
        </w:rPr>
        <w:t>erzo posto</w:t>
      </w:r>
      <w:r w:rsidR="00BF44E1">
        <w:rPr>
          <w:b/>
        </w:rPr>
        <w:t>.</w:t>
      </w:r>
      <w:r w:rsidR="00A0614E">
        <w:rPr>
          <w:b/>
        </w:rPr>
        <w:t xml:space="preserve"> </w:t>
      </w:r>
    </w:p>
    <w:p w:rsidR="00A0614E" w:rsidRDefault="00A0614E" w:rsidP="00A0614E">
      <w:pPr>
        <w:spacing w:after="0" w:line="240" w:lineRule="auto"/>
      </w:pPr>
      <w:r w:rsidRPr="00694385">
        <w:rPr>
          <w:b/>
        </w:rPr>
        <w:t xml:space="preserve">Con l’aiuto </w:t>
      </w:r>
      <w:proofErr w:type="spellStart"/>
      <w:r w:rsidRPr="00694385">
        <w:rPr>
          <w:b/>
        </w:rPr>
        <w:t>dell’advisor</w:t>
      </w:r>
      <w:proofErr w:type="spellEnd"/>
      <w:r w:rsidRPr="00694385">
        <w:rPr>
          <w:b/>
        </w:rPr>
        <w:t xml:space="preserve"> e del comitato investimenti, il consiglio di amministrazione mantiene vivo il controllo degli investimenti con costante attenzione alla loro diversificazione, al loro grado di liquidità e liquidabilità</w:t>
      </w:r>
      <w:r>
        <w:t xml:space="preserve">, agli indici di rischio contenuti ma nel contempo sufficientemente aperti per cogliere le opportunità che offrono i mercati e, quindi, una idonea redditività. </w:t>
      </w:r>
    </w:p>
    <w:p w:rsidR="00D41583" w:rsidRPr="006D23D9" w:rsidRDefault="00A0614E" w:rsidP="006D23D9">
      <w:pPr>
        <w:spacing w:after="0" w:line="240" w:lineRule="auto"/>
      </w:pPr>
      <w:r w:rsidRPr="00694385">
        <w:rPr>
          <w:b/>
        </w:rPr>
        <w:t xml:space="preserve">La </w:t>
      </w:r>
      <w:r w:rsidRPr="00AD067D">
        <w:rPr>
          <w:b/>
        </w:rPr>
        <w:t>scelta degli investimenti è certamente condizionata anche dai valori di eticità di cui la fondazione è paladina:</w:t>
      </w:r>
      <w:r w:rsidRPr="00AD067D">
        <w:t xml:space="preserve"> per questo sta diventando sempre più significativa quella parte di patrimonio posizionata in investiment</w:t>
      </w:r>
      <w:r>
        <w:t xml:space="preserve">i sostenibili e orientati nella </w:t>
      </w:r>
      <w:r w:rsidRPr="00AD067D">
        <w:rPr>
          <w:i/>
        </w:rPr>
        <w:t>green economy</w:t>
      </w:r>
      <w:r w:rsidRPr="00AD067D">
        <w:t xml:space="preserve">, oltre </w:t>
      </w:r>
      <w:r>
        <w:t xml:space="preserve">al </w:t>
      </w:r>
      <w:r w:rsidRPr="00AD067D">
        <w:t>forte impegno in ambito culturale e di dialogo su tematiche attuali</w:t>
      </w:r>
      <w:r>
        <w:t>, la partecipazione a tavoli europei delle fondazioni sulle tematiche della disabilità,</w:t>
      </w:r>
      <w:r w:rsidRPr="00AD067D">
        <w:t xml:space="preserve"> e al sostegno alle moltissime realtà di volontariato piccole e piccolissime che massimizzano </w:t>
      </w:r>
      <w:r>
        <w:t xml:space="preserve">e distribuiscono </w:t>
      </w:r>
      <w:r w:rsidRPr="00AD067D">
        <w:t>o</w:t>
      </w:r>
      <w:r>
        <w:t>gni sostegno che viene dato</w:t>
      </w:r>
      <w:r w:rsidRPr="00AD067D">
        <w:t>.</w:t>
      </w:r>
    </w:p>
    <w:sectPr w:rsidR="00D41583" w:rsidRPr="006D23D9" w:rsidSect="00123DCB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712" w:rsidRDefault="00032712">
      <w:pPr>
        <w:spacing w:after="0" w:line="240" w:lineRule="auto"/>
      </w:pPr>
      <w:r>
        <w:separator/>
      </w:r>
    </w:p>
  </w:endnote>
  <w:endnote w:type="continuationSeparator" w:id="0">
    <w:p w:rsidR="00032712" w:rsidRDefault="0003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55" w:rsidRDefault="00443B55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443B55" w:rsidRDefault="00443B55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443B55" w:rsidRPr="00D31B4F" w:rsidRDefault="00443B55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712" w:rsidRDefault="000327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32712" w:rsidRDefault="00032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55" w:rsidRDefault="00443B55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-824230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43B55" w:rsidRDefault="00443B55">
    <w:pPr>
      <w:pStyle w:val="Intestazione"/>
    </w:pPr>
  </w:p>
  <w:p w:rsidR="00443B55" w:rsidRDefault="00443B55">
    <w:pPr>
      <w:pStyle w:val="Intestazione"/>
    </w:pPr>
  </w:p>
  <w:p w:rsidR="00443B55" w:rsidRDefault="00443B55">
    <w:pPr>
      <w:pStyle w:val="Intestazione"/>
    </w:pPr>
  </w:p>
  <w:p w:rsidR="00443B55" w:rsidRDefault="00443B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849"/>
    <w:rsid w:val="00000D50"/>
    <w:rsid w:val="00001FC9"/>
    <w:rsid w:val="000207A4"/>
    <w:rsid w:val="000314C5"/>
    <w:rsid w:val="00032712"/>
    <w:rsid w:val="00037B9E"/>
    <w:rsid w:val="00042B3F"/>
    <w:rsid w:val="00053D24"/>
    <w:rsid w:val="00056707"/>
    <w:rsid w:val="0008606E"/>
    <w:rsid w:val="00087D81"/>
    <w:rsid w:val="000921BC"/>
    <w:rsid w:val="00095833"/>
    <w:rsid w:val="000B4097"/>
    <w:rsid w:val="000C4903"/>
    <w:rsid w:val="000D04C3"/>
    <w:rsid w:val="000E115C"/>
    <w:rsid w:val="000F2F14"/>
    <w:rsid w:val="00100AE7"/>
    <w:rsid w:val="00101379"/>
    <w:rsid w:val="001122E3"/>
    <w:rsid w:val="00123DCB"/>
    <w:rsid w:val="0012558B"/>
    <w:rsid w:val="00130E5A"/>
    <w:rsid w:val="00130F50"/>
    <w:rsid w:val="00136CFD"/>
    <w:rsid w:val="00136FC2"/>
    <w:rsid w:val="00137778"/>
    <w:rsid w:val="00153DD3"/>
    <w:rsid w:val="00157FB5"/>
    <w:rsid w:val="00173983"/>
    <w:rsid w:val="001B341B"/>
    <w:rsid w:val="001C42F4"/>
    <w:rsid w:val="001E33DE"/>
    <w:rsid w:val="00235044"/>
    <w:rsid w:val="00244BB0"/>
    <w:rsid w:val="0024638D"/>
    <w:rsid w:val="00250DEB"/>
    <w:rsid w:val="00262B7B"/>
    <w:rsid w:val="002632FA"/>
    <w:rsid w:val="00266F42"/>
    <w:rsid w:val="002A0226"/>
    <w:rsid w:val="002A1C3C"/>
    <w:rsid w:val="002C52DF"/>
    <w:rsid w:val="002E5DEC"/>
    <w:rsid w:val="002F17D4"/>
    <w:rsid w:val="00305CE7"/>
    <w:rsid w:val="00345044"/>
    <w:rsid w:val="00361DDA"/>
    <w:rsid w:val="00366062"/>
    <w:rsid w:val="003774EB"/>
    <w:rsid w:val="003815E1"/>
    <w:rsid w:val="003B0D85"/>
    <w:rsid w:val="003C6839"/>
    <w:rsid w:val="003D0681"/>
    <w:rsid w:val="003E342A"/>
    <w:rsid w:val="003E6468"/>
    <w:rsid w:val="003F21DB"/>
    <w:rsid w:val="004065C2"/>
    <w:rsid w:val="00426EEE"/>
    <w:rsid w:val="004322FC"/>
    <w:rsid w:val="00433404"/>
    <w:rsid w:val="0044147E"/>
    <w:rsid w:val="00443B55"/>
    <w:rsid w:val="00454C60"/>
    <w:rsid w:val="00456D2D"/>
    <w:rsid w:val="004634C2"/>
    <w:rsid w:val="004652DA"/>
    <w:rsid w:val="0047045C"/>
    <w:rsid w:val="00482F0C"/>
    <w:rsid w:val="004A6A76"/>
    <w:rsid w:val="004B12FD"/>
    <w:rsid w:val="004B20B9"/>
    <w:rsid w:val="004B66BB"/>
    <w:rsid w:val="004C222E"/>
    <w:rsid w:val="004C7743"/>
    <w:rsid w:val="004E5C96"/>
    <w:rsid w:val="004F1F68"/>
    <w:rsid w:val="004F35B1"/>
    <w:rsid w:val="004F70DA"/>
    <w:rsid w:val="00512D5E"/>
    <w:rsid w:val="00525BDC"/>
    <w:rsid w:val="00550A20"/>
    <w:rsid w:val="00564CD4"/>
    <w:rsid w:val="0056664A"/>
    <w:rsid w:val="005748A4"/>
    <w:rsid w:val="00576B28"/>
    <w:rsid w:val="0058465F"/>
    <w:rsid w:val="005A015F"/>
    <w:rsid w:val="005A64E3"/>
    <w:rsid w:val="005C0AEF"/>
    <w:rsid w:val="005C26BE"/>
    <w:rsid w:val="005C3251"/>
    <w:rsid w:val="005E0EB2"/>
    <w:rsid w:val="005E0FF9"/>
    <w:rsid w:val="005E20BA"/>
    <w:rsid w:val="005E2F36"/>
    <w:rsid w:val="005F4951"/>
    <w:rsid w:val="00634A8C"/>
    <w:rsid w:val="00641881"/>
    <w:rsid w:val="0064307B"/>
    <w:rsid w:val="00645870"/>
    <w:rsid w:val="00652AF9"/>
    <w:rsid w:val="00653862"/>
    <w:rsid w:val="006715E7"/>
    <w:rsid w:val="006846AA"/>
    <w:rsid w:val="00685C88"/>
    <w:rsid w:val="00693EDE"/>
    <w:rsid w:val="006A2FDA"/>
    <w:rsid w:val="006A7954"/>
    <w:rsid w:val="006C4979"/>
    <w:rsid w:val="006C7007"/>
    <w:rsid w:val="006D04F6"/>
    <w:rsid w:val="006D20BB"/>
    <w:rsid w:val="006D23D9"/>
    <w:rsid w:val="006D4E5D"/>
    <w:rsid w:val="006E45BF"/>
    <w:rsid w:val="00701A55"/>
    <w:rsid w:val="00714EC5"/>
    <w:rsid w:val="00716885"/>
    <w:rsid w:val="007256B0"/>
    <w:rsid w:val="00725DB7"/>
    <w:rsid w:val="00740DD0"/>
    <w:rsid w:val="007562A9"/>
    <w:rsid w:val="00771E43"/>
    <w:rsid w:val="00780035"/>
    <w:rsid w:val="007B3CF2"/>
    <w:rsid w:val="007B79C9"/>
    <w:rsid w:val="007C571D"/>
    <w:rsid w:val="007C5994"/>
    <w:rsid w:val="007C7F9A"/>
    <w:rsid w:val="007E21C8"/>
    <w:rsid w:val="007E7CD9"/>
    <w:rsid w:val="007F6AB2"/>
    <w:rsid w:val="007F6E49"/>
    <w:rsid w:val="008125E9"/>
    <w:rsid w:val="008278EF"/>
    <w:rsid w:val="00833BC3"/>
    <w:rsid w:val="00841093"/>
    <w:rsid w:val="00843B12"/>
    <w:rsid w:val="00851FC1"/>
    <w:rsid w:val="00857F63"/>
    <w:rsid w:val="00862633"/>
    <w:rsid w:val="00863164"/>
    <w:rsid w:val="0089295A"/>
    <w:rsid w:val="00894689"/>
    <w:rsid w:val="008C36F3"/>
    <w:rsid w:val="008C74C5"/>
    <w:rsid w:val="008D31C2"/>
    <w:rsid w:val="008D7EE7"/>
    <w:rsid w:val="008E2D4C"/>
    <w:rsid w:val="00904615"/>
    <w:rsid w:val="00904AF3"/>
    <w:rsid w:val="0090746B"/>
    <w:rsid w:val="00942600"/>
    <w:rsid w:val="00961207"/>
    <w:rsid w:val="00974631"/>
    <w:rsid w:val="00987BFF"/>
    <w:rsid w:val="009A1727"/>
    <w:rsid w:val="009C6644"/>
    <w:rsid w:val="009D4A56"/>
    <w:rsid w:val="009D6DA9"/>
    <w:rsid w:val="009E2C15"/>
    <w:rsid w:val="009E5096"/>
    <w:rsid w:val="00A03718"/>
    <w:rsid w:val="00A0614E"/>
    <w:rsid w:val="00A13EBD"/>
    <w:rsid w:val="00A26F97"/>
    <w:rsid w:val="00A315D2"/>
    <w:rsid w:val="00A43114"/>
    <w:rsid w:val="00A457E8"/>
    <w:rsid w:val="00A65A91"/>
    <w:rsid w:val="00A77F62"/>
    <w:rsid w:val="00A92CB8"/>
    <w:rsid w:val="00AA0B1C"/>
    <w:rsid w:val="00AC4F3C"/>
    <w:rsid w:val="00AC76A9"/>
    <w:rsid w:val="00AD24CC"/>
    <w:rsid w:val="00AD4FCD"/>
    <w:rsid w:val="00AE0E3F"/>
    <w:rsid w:val="00B3047C"/>
    <w:rsid w:val="00B3206D"/>
    <w:rsid w:val="00B4677D"/>
    <w:rsid w:val="00B6032B"/>
    <w:rsid w:val="00B62EC8"/>
    <w:rsid w:val="00B666A3"/>
    <w:rsid w:val="00B67099"/>
    <w:rsid w:val="00B70C56"/>
    <w:rsid w:val="00B9655A"/>
    <w:rsid w:val="00BB4A96"/>
    <w:rsid w:val="00BC130E"/>
    <w:rsid w:val="00BC28A1"/>
    <w:rsid w:val="00BC6184"/>
    <w:rsid w:val="00BE23C2"/>
    <w:rsid w:val="00BF44E1"/>
    <w:rsid w:val="00BF50DF"/>
    <w:rsid w:val="00C0023F"/>
    <w:rsid w:val="00C24B90"/>
    <w:rsid w:val="00C433E5"/>
    <w:rsid w:val="00C51448"/>
    <w:rsid w:val="00C53654"/>
    <w:rsid w:val="00C642A9"/>
    <w:rsid w:val="00C66CF3"/>
    <w:rsid w:val="00C66E5F"/>
    <w:rsid w:val="00C6761C"/>
    <w:rsid w:val="00C67E89"/>
    <w:rsid w:val="00D05AE9"/>
    <w:rsid w:val="00D11E44"/>
    <w:rsid w:val="00D17EDC"/>
    <w:rsid w:val="00D21CDC"/>
    <w:rsid w:val="00D235AF"/>
    <w:rsid w:val="00D31B4F"/>
    <w:rsid w:val="00D31F18"/>
    <w:rsid w:val="00D41583"/>
    <w:rsid w:val="00D5499B"/>
    <w:rsid w:val="00D606BB"/>
    <w:rsid w:val="00D6225E"/>
    <w:rsid w:val="00D641F9"/>
    <w:rsid w:val="00D745A8"/>
    <w:rsid w:val="00D75506"/>
    <w:rsid w:val="00D81CEE"/>
    <w:rsid w:val="00D82BD7"/>
    <w:rsid w:val="00D9574F"/>
    <w:rsid w:val="00DA4933"/>
    <w:rsid w:val="00DD129B"/>
    <w:rsid w:val="00DD6F4F"/>
    <w:rsid w:val="00DD7837"/>
    <w:rsid w:val="00E021A6"/>
    <w:rsid w:val="00E036AB"/>
    <w:rsid w:val="00E0469E"/>
    <w:rsid w:val="00E16C75"/>
    <w:rsid w:val="00E20883"/>
    <w:rsid w:val="00E254FF"/>
    <w:rsid w:val="00E31493"/>
    <w:rsid w:val="00E4192A"/>
    <w:rsid w:val="00E45F63"/>
    <w:rsid w:val="00E536C2"/>
    <w:rsid w:val="00E75D17"/>
    <w:rsid w:val="00E84F66"/>
    <w:rsid w:val="00E867E3"/>
    <w:rsid w:val="00E9231F"/>
    <w:rsid w:val="00E92F69"/>
    <w:rsid w:val="00E97889"/>
    <w:rsid w:val="00EB35D4"/>
    <w:rsid w:val="00EB5585"/>
    <w:rsid w:val="00EB6036"/>
    <w:rsid w:val="00EB67DD"/>
    <w:rsid w:val="00EB73CD"/>
    <w:rsid w:val="00ED43B9"/>
    <w:rsid w:val="00ED7E6C"/>
    <w:rsid w:val="00F01949"/>
    <w:rsid w:val="00F0358F"/>
    <w:rsid w:val="00F06621"/>
    <w:rsid w:val="00F13849"/>
    <w:rsid w:val="00F14F28"/>
    <w:rsid w:val="00F15A3B"/>
    <w:rsid w:val="00F33087"/>
    <w:rsid w:val="00F51ADA"/>
    <w:rsid w:val="00F65B99"/>
    <w:rsid w:val="00F8105A"/>
    <w:rsid w:val="00F917A1"/>
    <w:rsid w:val="00FC28AC"/>
    <w:rsid w:val="00FC7970"/>
    <w:rsid w:val="00FD1E88"/>
    <w:rsid w:val="00FD56DF"/>
    <w:rsid w:val="00FD5CA0"/>
    <w:rsid w:val="00FE0039"/>
    <w:rsid w:val="00FE14DB"/>
    <w:rsid w:val="00FE2A50"/>
    <w:rsid w:val="00FE4634"/>
    <w:rsid w:val="00FE6349"/>
    <w:rsid w:val="00FF6B19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93A07"/>
  <w15:docId w15:val="{DA04F194-8225-45EB-BC23-B9834B74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customStyle="1" w:styleId="m3811992322395034156msolistparagraph">
    <w:name w:val="m_3811992322395034156msolistparagraph"/>
    <w:basedOn w:val="Normale"/>
    <w:rsid w:val="000E115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0E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7E305-2784-4441-BBD8-3BC45801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3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utente</cp:lastModifiedBy>
  <cp:revision>29</cp:revision>
  <cp:lastPrinted>2020-11-12T09:43:00Z</cp:lastPrinted>
  <dcterms:created xsi:type="dcterms:W3CDTF">2020-11-12T09:52:00Z</dcterms:created>
  <dcterms:modified xsi:type="dcterms:W3CDTF">2021-05-19T16:11:00Z</dcterms:modified>
</cp:coreProperties>
</file>